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C4" w:rsidRPr="00E10DC4" w:rsidRDefault="00E10DC4">
      <w:pPr>
        <w:rPr>
          <w:b/>
          <w:lang w:val="en-US"/>
        </w:rPr>
      </w:pPr>
      <w:r w:rsidRPr="00E10DC4">
        <w:rPr>
          <w:b/>
          <w:lang w:val="en-US"/>
        </w:rPr>
        <w:t>Example for Publication work</w:t>
      </w:r>
    </w:p>
    <w:p w:rsidR="00211D3C" w:rsidRPr="00E10DC4" w:rsidRDefault="0083196D">
      <w:pPr>
        <w:rPr>
          <w:b/>
          <w:lang w:val="en-US"/>
        </w:rPr>
      </w:pPr>
      <w:r w:rsidRPr="00E10DC4">
        <w:rPr>
          <w:b/>
          <w:lang w:val="en-US"/>
        </w:rPr>
        <w:t>Title</w:t>
      </w:r>
      <w:r w:rsidR="00E10DC4" w:rsidRPr="00E10DC4">
        <w:rPr>
          <w:b/>
          <w:lang w:val="en-US"/>
        </w:rPr>
        <w:t>:</w:t>
      </w:r>
    </w:p>
    <w:p w:rsidR="0083196D" w:rsidRPr="00E10DC4" w:rsidRDefault="0083196D">
      <w:pPr>
        <w:rPr>
          <w:b/>
          <w:lang w:val="en-US"/>
        </w:rPr>
      </w:pPr>
      <w:r w:rsidRPr="00E10DC4">
        <w:rPr>
          <w:b/>
          <w:lang w:val="en-US"/>
        </w:rPr>
        <w:t>Abstract</w:t>
      </w:r>
      <w:r w:rsidR="00E10DC4" w:rsidRPr="00E10DC4">
        <w:rPr>
          <w:b/>
          <w:lang w:val="en-US"/>
        </w:rPr>
        <w:t>:</w:t>
      </w:r>
    </w:p>
    <w:p w:rsidR="0083196D" w:rsidRPr="00E10DC4" w:rsidRDefault="00E10DC4">
      <w:pPr>
        <w:rPr>
          <w:lang w:val="en-US"/>
        </w:rPr>
      </w:pPr>
      <w:r w:rsidRPr="00E10DC4">
        <w:rPr>
          <w:lang w:val="en-US"/>
        </w:rPr>
        <w:t xml:space="preserve">Max </w:t>
      </w:r>
      <w:r>
        <w:rPr>
          <w:lang w:val="en-US"/>
        </w:rPr>
        <w:t>250 words</w:t>
      </w:r>
    </w:p>
    <w:p w:rsidR="00E10DC4" w:rsidRPr="00E10DC4" w:rsidRDefault="00E10DC4">
      <w:pPr>
        <w:rPr>
          <w:b/>
        </w:rPr>
      </w:pPr>
      <w:proofErr w:type="spellStart"/>
      <w:r w:rsidRPr="00E10DC4">
        <w:rPr>
          <w:b/>
        </w:rPr>
        <w:t>Structure</w:t>
      </w:r>
      <w:proofErr w:type="spellEnd"/>
      <w:r w:rsidRPr="00E10DC4">
        <w:rPr>
          <w:b/>
        </w:rPr>
        <w:t>:</w:t>
      </w:r>
    </w:p>
    <w:p w:rsidR="00E10DC4" w:rsidRPr="00E10DC4" w:rsidRDefault="00E10DC4" w:rsidP="00E10DC4">
      <w:pPr>
        <w:pStyle w:val="Listenabsatz"/>
        <w:numPr>
          <w:ilvl w:val="0"/>
          <w:numId w:val="1"/>
        </w:numPr>
        <w:rPr>
          <w:i/>
          <w:lang w:val="en-US"/>
        </w:rPr>
      </w:pPr>
      <w:r w:rsidRPr="00E10DC4">
        <w:rPr>
          <w:i/>
          <w:lang w:val="en-US"/>
        </w:rPr>
        <w:t>Introduc</w:t>
      </w:r>
      <w:r w:rsidRPr="00E10DC4">
        <w:rPr>
          <w:i/>
          <w:lang w:val="en-US"/>
        </w:rPr>
        <w:t>tion</w:t>
      </w:r>
    </w:p>
    <w:p w:rsidR="00E10DC4" w:rsidRPr="0083196D" w:rsidRDefault="00E10DC4" w:rsidP="00E10DC4">
      <w:pPr>
        <w:rPr>
          <w:lang w:val="en-US"/>
        </w:rPr>
      </w:pPr>
      <w:r>
        <w:rPr>
          <w:lang w:val="en-US"/>
        </w:rPr>
        <w:t>Description….</w:t>
      </w:r>
      <w:r w:rsidRPr="0083196D">
        <w:rPr>
          <w:lang w:val="en-US"/>
        </w:rPr>
        <w:t xml:space="preserve">I want to </w:t>
      </w:r>
      <w:proofErr w:type="spellStart"/>
      <w:r w:rsidRPr="0083196D">
        <w:rPr>
          <w:lang w:val="en-US"/>
        </w:rPr>
        <w:t>strat</w:t>
      </w:r>
      <w:proofErr w:type="spellEnd"/>
      <w:r w:rsidRPr="0083196D">
        <w:rPr>
          <w:lang w:val="en-US"/>
        </w:rPr>
        <w:t xml:space="preserve"> </w:t>
      </w:r>
      <w:proofErr w:type="spellStart"/>
      <w:r w:rsidRPr="0083196D">
        <w:rPr>
          <w:lang w:val="en-US"/>
        </w:rPr>
        <w:t>citting</w:t>
      </w:r>
      <w:proofErr w:type="spellEnd"/>
      <w:r w:rsidRPr="0083196D">
        <w:rPr>
          <w:lang w:val="en-US"/>
        </w:rPr>
        <w:t xml:space="preserve"> on</w:t>
      </w:r>
      <w:r>
        <w:rPr>
          <w:lang w:val="en-US"/>
        </w:rPr>
        <w:t xml:space="preserve">e article </w:t>
      </w:r>
      <w:r>
        <w:rPr>
          <w:lang w:val="en-US"/>
        </w:rPr>
        <w:fldChar w:fldCharType="begin"/>
      </w:r>
      <w:r>
        <w:rPr>
          <w:lang w:val="en-US"/>
        </w:rPr>
        <w:instrText xml:space="preserve"> ADDIN ZOTERO_ITEM CSL_CITATION {"citationID":"1TaTiDCt","properties":{"formattedCitation":"[1,2]","plainCitation":"[1,2]","noteIndex":0},"citationItems":[{"id":8273,"uris":["http://zotero.org/groups/2894320/items/NHDMG4SI"],"uri":["http://zotero.org/groups/2894320/items/NHDMG4SI"],"itemData":{"id":8273,"type":"article-journal","abstract":"The US Green New Deal (GND) resolution introduced by Congresswoman Ocasio-Cortez and Senator Markey is the first comprehensive program combining climate change mitigation and the elimination of economic inequality that could, conceivably, soon be adopted as policy in a major economy. We outline its main features, together with Senator Bernie Sanders’ more detailed, fully costed version, exploring its implications for policymaking and social science-based energy research. We focus on two of its most striking characteristics: its macroeconomics; and its inextricable linkage of climate change mitigation and the reduction of economic inequality. We find Sanders’ GND economically credible and argue that the GND's use of Keynesian demand-side macroeconomics challenges governments, policymakers and citizens to think anew about the nature of money. We suggest social scientists need to challenge neoclassical economic assumptions, which, we argue, enable both climate destruction and inequality to continue. We find the GND's combining of climate protection and equality credible, and argue that shifting the debate away from neoclassical understandings of public debt to careful assessments of inflationary impacts and resource needs will generate more productive analysis. We offer these insights as a first look at the GND and challenge others to join in this research.","container-title":"Energy Research &amp; Social Science","DOI":"10.1016/j.erss.2020.101529","ISSN":"2214-6296","journalAbbreviation":"Energy Research &amp; Social Science","language":"en","page":"101529","source":"ScienceDirect","title":"The Green New Deal in the United States: What it is and how to pay for it","title-short":"The Green New Deal in the United States","volume":"67","author":[{"family":"Galvin","given":"Ray"},{"family":"Healy","given":"Noel"}],"issued":{"date-parts":[["2020",9,1]]}}},{"id":1651,"uris":["http://zotero.org/groups/2104513/items/DKPEFL84"],"uri":["http://zotero.org/groups/2104513/items/DKPEFL84"],"itemData":{"id":1651,"type":"article-journal","abstract":"Energy efﬁciency increases are essential in reducing energy consumption and CO2 emissions. Policy is therefore rightly concerned about rebound effects, which cause energy and CO2 emission reductions to be less than anticipated. A policy dilemma is emerging in that less economically privileged groups tend to show the highest rebound effects. Some studies suggest policymakers may therefore be reluctant to support energy efﬁciency upgrades among such groups. This paper argues this is based on a misunderstanding of the conceptual structure of the rebound effect. Firstly, a mathematical analysis conﬁrms that the rebound effect is merely a comparison of proportions, not a measure of absolute levels of energy consumption, which are the real cause of increased CO2 emissions. Secondly, an empirical study of commute distances in North-Rhine-Westphalia, Germany’s largest state, reveals that female commuters show considerably higher rebound effects than male commuters, both in time and cross-sectional analyses. However, male commuters consume the most energy and produce the most CO2 emissions, by every measure. This resonates with recent studies showing the same disjunction between rebound effects and absolute consumption, in home heating among poorer and wealthier households. Policy needs to focus on absolute consumption levels and be cautious in interpreting rebound effects.","container-title":"Energy Policy","DOI":"10.1016/j.enpol.2015.08.026","ISSN":"03014215","language":"en","page":"759-769","source":"Crossref","title":"The rebound effect, gender and social justice: A case study in Germany","title-short":"The rebound effect, gender and social justice","volume":"86","author":[{"family":"Galvin","given":"Ray"}],"issued":{"date-parts":[["2015",11]]}}}],"schema":"https://github.com/citation-style-language/schema/raw/master/csl-citation.json"} </w:instrText>
      </w:r>
      <w:r>
        <w:rPr>
          <w:lang w:val="en-US"/>
        </w:rPr>
        <w:fldChar w:fldCharType="separate"/>
      </w:r>
      <w:r w:rsidRPr="0083196D">
        <w:rPr>
          <w:rFonts w:ascii="Calibri" w:hAnsi="Calibri"/>
          <w:lang w:val="en-US"/>
        </w:rPr>
        <w:t>[1,2]</w:t>
      </w:r>
      <w:r>
        <w:rPr>
          <w:lang w:val="en-US"/>
        </w:rPr>
        <w:fldChar w:fldCharType="end"/>
      </w:r>
    </w:p>
    <w:p w:rsidR="00E10DC4" w:rsidRPr="00E10DC4" w:rsidRDefault="00E10DC4" w:rsidP="00E10DC4">
      <w:pPr>
        <w:pStyle w:val="Listenabsatz"/>
        <w:numPr>
          <w:ilvl w:val="0"/>
          <w:numId w:val="1"/>
        </w:numPr>
        <w:rPr>
          <w:i/>
          <w:lang w:val="en-US"/>
        </w:rPr>
      </w:pPr>
      <w:r w:rsidRPr="00E10DC4">
        <w:rPr>
          <w:i/>
          <w:lang w:val="en-US"/>
        </w:rPr>
        <w:t>Main topic</w:t>
      </w:r>
    </w:p>
    <w:p w:rsidR="00E10DC4" w:rsidRPr="00E10DC4" w:rsidRDefault="00E10DC4" w:rsidP="00E10DC4">
      <w:pPr>
        <w:pStyle w:val="Listenabsatz"/>
        <w:numPr>
          <w:ilvl w:val="1"/>
          <w:numId w:val="1"/>
        </w:numPr>
        <w:rPr>
          <w:lang w:val="en-US"/>
        </w:rPr>
      </w:pPr>
      <w:r w:rsidRPr="00E10DC4">
        <w:rPr>
          <w:lang w:val="en-US"/>
        </w:rPr>
        <w:t>Idea 1</w:t>
      </w:r>
    </w:p>
    <w:p w:rsidR="00E10DC4" w:rsidRDefault="00E10DC4" w:rsidP="00E10DC4">
      <w:pPr>
        <w:pStyle w:val="Listenabsatz"/>
        <w:numPr>
          <w:ilvl w:val="1"/>
          <w:numId w:val="1"/>
        </w:numPr>
        <w:rPr>
          <w:lang w:val="en-US"/>
        </w:rPr>
      </w:pPr>
      <w:r w:rsidRPr="00E10DC4">
        <w:rPr>
          <w:lang w:val="en-US"/>
        </w:rPr>
        <w:t>Idea 2</w:t>
      </w:r>
    </w:p>
    <w:p w:rsidR="00E10DC4" w:rsidRPr="00E10DC4" w:rsidRDefault="00E10DC4" w:rsidP="00E10DC4">
      <w:pPr>
        <w:pStyle w:val="Listenabsatz"/>
        <w:ind w:left="1440"/>
        <w:rPr>
          <w:lang w:val="en-US"/>
        </w:rPr>
      </w:pPr>
    </w:p>
    <w:p w:rsidR="00E10DC4" w:rsidRPr="00E10DC4" w:rsidRDefault="00E10DC4" w:rsidP="00E10DC4">
      <w:pPr>
        <w:pStyle w:val="Listenabsatz"/>
        <w:numPr>
          <w:ilvl w:val="0"/>
          <w:numId w:val="1"/>
        </w:numPr>
        <w:rPr>
          <w:i/>
          <w:lang w:val="en-US"/>
        </w:rPr>
      </w:pPr>
      <w:r w:rsidRPr="00E10DC4">
        <w:rPr>
          <w:i/>
          <w:lang w:val="en-US"/>
        </w:rPr>
        <w:t>Expected results</w:t>
      </w:r>
    </w:p>
    <w:p w:rsidR="0083196D" w:rsidRPr="0083196D" w:rsidRDefault="0083196D">
      <w:pPr>
        <w:rPr>
          <w:lang w:val="en-US"/>
        </w:rPr>
      </w:pPr>
    </w:p>
    <w:p w:rsidR="0083196D" w:rsidRPr="00E10DC4" w:rsidRDefault="0083196D">
      <w:pPr>
        <w:rPr>
          <w:b/>
          <w:lang w:val="en-US"/>
        </w:rPr>
      </w:pPr>
      <w:r w:rsidRPr="00E10DC4">
        <w:rPr>
          <w:b/>
          <w:lang w:val="en-US"/>
        </w:rPr>
        <w:t>Bibliography</w:t>
      </w:r>
      <w:r w:rsidR="00E10DC4">
        <w:rPr>
          <w:b/>
          <w:lang w:val="en-US"/>
        </w:rPr>
        <w:t>:</w:t>
      </w:r>
    </w:p>
    <w:p w:rsidR="0083196D" w:rsidRPr="0083196D" w:rsidRDefault="0083196D" w:rsidP="0083196D">
      <w:pPr>
        <w:pStyle w:val="Literaturverzeichnis"/>
        <w:rPr>
          <w:rFonts w:ascii="Calibri" w:hAnsi="Calibri"/>
          <w:lang w:val="en-US"/>
        </w:rPr>
      </w:pPr>
      <w:r>
        <w:fldChar w:fldCharType="begin"/>
      </w:r>
      <w:r w:rsidRPr="0083196D">
        <w:rPr>
          <w:lang w:val="en-US"/>
        </w:rPr>
        <w:instrText xml:space="preserve"> ADDIN ZOTERO_BIBL {"uncited":[],"omitted":[],"custom":[]} CSL_BIBLIOGRAPHY </w:instrText>
      </w:r>
      <w:r>
        <w:fldChar w:fldCharType="separate"/>
      </w:r>
      <w:r w:rsidRPr="0083196D">
        <w:rPr>
          <w:rFonts w:ascii="Calibri" w:hAnsi="Calibri"/>
          <w:lang w:val="en-US"/>
        </w:rPr>
        <w:t>[1]</w:t>
      </w:r>
      <w:r w:rsidRPr="0083196D">
        <w:rPr>
          <w:rFonts w:ascii="Calibri" w:hAnsi="Calibri"/>
          <w:lang w:val="en-US"/>
        </w:rPr>
        <w:tab/>
        <w:t xml:space="preserve">Galvin R, Healy N. The Green New Deal in the United States: What it is and how to pay for it. Energy Research &amp; Social Science </w:t>
      </w:r>
      <w:proofErr w:type="gramStart"/>
      <w:r w:rsidRPr="0083196D">
        <w:rPr>
          <w:rFonts w:ascii="Calibri" w:hAnsi="Calibri"/>
          <w:lang w:val="en-US"/>
        </w:rPr>
        <w:t>2020;67:101529</w:t>
      </w:r>
      <w:proofErr w:type="gramEnd"/>
      <w:r w:rsidRPr="0083196D">
        <w:rPr>
          <w:rFonts w:ascii="Calibri" w:hAnsi="Calibri"/>
          <w:lang w:val="en-US"/>
        </w:rPr>
        <w:t>. https://doi.org/10.1016/j.erss.2020.101529.</w:t>
      </w:r>
    </w:p>
    <w:p w:rsidR="0083196D" w:rsidRPr="0083196D" w:rsidRDefault="0083196D" w:rsidP="0083196D">
      <w:pPr>
        <w:pStyle w:val="Literaturverzeichnis"/>
        <w:rPr>
          <w:rFonts w:ascii="Calibri" w:hAnsi="Calibri"/>
          <w:lang w:val="en-US"/>
        </w:rPr>
      </w:pPr>
      <w:r w:rsidRPr="0083196D">
        <w:rPr>
          <w:rFonts w:ascii="Calibri" w:hAnsi="Calibri"/>
          <w:lang w:val="en-US"/>
        </w:rPr>
        <w:t>[2]</w:t>
      </w:r>
      <w:r w:rsidRPr="0083196D">
        <w:rPr>
          <w:rFonts w:ascii="Calibri" w:hAnsi="Calibri"/>
          <w:lang w:val="en-US"/>
        </w:rPr>
        <w:tab/>
        <w:t xml:space="preserve">Galvin R. The rebound effect, gender and social justice: A case study in Germany. Energy Policy </w:t>
      </w:r>
      <w:proofErr w:type="gramStart"/>
      <w:r w:rsidRPr="0083196D">
        <w:rPr>
          <w:rFonts w:ascii="Calibri" w:hAnsi="Calibri"/>
          <w:lang w:val="en-US"/>
        </w:rPr>
        <w:t>2015;86:759</w:t>
      </w:r>
      <w:proofErr w:type="gramEnd"/>
      <w:r w:rsidRPr="0083196D">
        <w:rPr>
          <w:rFonts w:ascii="Calibri" w:hAnsi="Calibri"/>
          <w:lang w:val="en-US"/>
        </w:rPr>
        <w:t>–69. https://doi.org/10.1016/j.enpol.2015.08.026.</w:t>
      </w:r>
    </w:p>
    <w:p w:rsidR="0083196D" w:rsidRPr="0083196D" w:rsidRDefault="0083196D">
      <w:pPr>
        <w:rPr>
          <w:lang w:val="en-US"/>
        </w:rPr>
      </w:pPr>
      <w:r>
        <w:fldChar w:fldCharType="end"/>
      </w:r>
    </w:p>
    <w:p w:rsidR="0083196D" w:rsidRDefault="0083196D">
      <w:pPr>
        <w:rPr>
          <w:lang w:val="en-US"/>
        </w:rPr>
      </w:pPr>
    </w:p>
    <w:p w:rsidR="00E10DC4" w:rsidRDefault="00E10DC4">
      <w:pPr>
        <w:rPr>
          <w:lang w:val="en-US"/>
        </w:rPr>
      </w:pPr>
      <w:bookmarkStart w:id="0" w:name="_GoBack"/>
      <w:bookmarkEnd w:id="0"/>
    </w:p>
    <w:p w:rsidR="00E10DC4" w:rsidRPr="0083196D" w:rsidRDefault="00E10DC4">
      <w:pPr>
        <w:rPr>
          <w:lang w:val="en-US"/>
        </w:rPr>
      </w:pPr>
    </w:p>
    <w:sectPr w:rsidR="00E10DC4" w:rsidRPr="008319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365EF"/>
    <w:multiLevelType w:val="hybridMultilevel"/>
    <w:tmpl w:val="585ADDD4"/>
    <w:lvl w:ilvl="0" w:tplc="D2188F0A">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6D"/>
    <w:rsid w:val="0083196D"/>
    <w:rsid w:val="00E10DC4"/>
    <w:rsid w:val="00E47B6B"/>
    <w:rsid w:val="00F75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0D2C"/>
  <w15:chartTrackingRefBased/>
  <w15:docId w15:val="{848EAAAD-78D0-45C0-9A29-647FD064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teraturverzeichnis">
    <w:name w:val="Bibliography"/>
    <w:basedOn w:val="Standard"/>
    <w:next w:val="Standard"/>
    <w:uiPriority w:val="37"/>
    <w:unhideWhenUsed/>
    <w:rsid w:val="0083196D"/>
    <w:pPr>
      <w:tabs>
        <w:tab w:val="left" w:pos="384"/>
      </w:tabs>
      <w:spacing w:after="0" w:line="240" w:lineRule="auto"/>
      <w:ind w:left="384" w:hanging="384"/>
    </w:pPr>
  </w:style>
  <w:style w:type="paragraph" w:styleId="Listenabsatz">
    <w:name w:val="List Paragraph"/>
    <w:basedOn w:val="Standard"/>
    <w:uiPriority w:val="34"/>
    <w:qFormat/>
    <w:rsid w:val="00E10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4197</Characters>
  <Application>Microsoft Office Word</Application>
  <DocSecurity>0</DocSecurity>
  <Lines>57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Valdes</dc:creator>
  <cp:keywords/>
  <dc:description/>
  <cp:lastModifiedBy>Javier Valdes</cp:lastModifiedBy>
  <cp:revision>1</cp:revision>
  <dcterms:created xsi:type="dcterms:W3CDTF">2021-04-21T08:13:00Z</dcterms:created>
  <dcterms:modified xsi:type="dcterms:W3CDTF">2021-04-21T11:15:00Z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id="WLddicIE"/&gt;&lt;style id="http://www.zotero.org/styles/applied-energy" hasBibliography="1" bibliographyStyleHasBeenSet="1"/&gt;&lt;prefs&gt;&lt;pref name="fieldType" value="Field"/&gt;&lt;/prefs&gt;&lt;/data&gt;</vt:lpwstr>
  </property>
</Properties>
</file>